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  <w:color w:val="0000FF"/>
          <w:sz w:val="36"/>
          <w:szCs w:val="36"/>
          <w:lang w:val="en-US"/>
        </w:rPr>
      </w:pPr>
      <w:r>
        <w:rPr>
          <w:rFonts w:hint="default"/>
          <w:color w:val="0000FF"/>
          <w:sz w:val="36"/>
          <w:szCs w:val="36"/>
          <w:lang w:val="en-US"/>
        </w:rPr>
        <w:t>Secuirty Processor Details</w:t>
      </w:r>
    </w:p>
    <w:p>
      <w:pPr>
        <w:rPr>
          <w:rFonts w:hint="default"/>
          <w:color w:val="0000FF"/>
          <w:sz w:val="36"/>
          <w:szCs w:val="36"/>
          <w:lang w:val="en-US"/>
        </w:rPr>
      </w:pPr>
    </w:p>
    <w:p>
      <w:pPr>
        <w:rPr>
          <w:rFonts w:hint="default"/>
          <w:color w:val="0000FF"/>
          <w:sz w:val="36"/>
          <w:szCs w:val="36"/>
          <w:lang w:val="en-US"/>
        </w:rPr>
      </w:pPr>
      <w:r>
        <w:rPr>
          <w:rFonts w:hint="default"/>
          <w:color w:val="0000FF"/>
          <w:sz w:val="36"/>
          <w:szCs w:val="36"/>
          <w:lang w:val="en-US"/>
        </w:rPr>
        <w:t>Information about trusted platform module(TPM)</w:t>
      </w:r>
    </w:p>
    <w:p>
      <w:pPr>
        <w:rPr>
          <w:rFonts w:hint="default"/>
          <w:color w:val="0000FF"/>
          <w:sz w:val="36"/>
          <w:szCs w:val="36"/>
          <w:lang w:val="en-US"/>
        </w:rPr>
      </w:pPr>
    </w:p>
    <w:p>
      <w:pPr>
        <w:pStyle w:val="2"/>
        <w:rPr>
          <w:lang w:val="en-US"/>
        </w:rPr>
      </w:pPr>
      <w:r>
        <w:rPr>
          <w:lang w:val="en-US"/>
        </w:rPr>
        <w:t>Custom WMI inventory configuration:</w:t>
      </w:r>
    </w:p>
    <w:p>
      <w:pPr>
        <w:rPr>
          <w:lang w:val="en-US"/>
        </w:rPr>
      </w:pPr>
    </w:p>
    <w:p>
      <w:pPr>
        <w:rPr>
          <w:rFonts w:hint="default"/>
          <w:sz w:val="21"/>
          <w:szCs w:val="21"/>
          <w:lang w:val="en-US"/>
        </w:rPr>
      </w:pPr>
      <w:r>
        <w:rPr>
          <w:rFonts w:hint="default"/>
          <w:b/>
          <w:bCs/>
          <w:sz w:val="21"/>
          <w:szCs w:val="21"/>
          <w:lang w:val="en-US"/>
        </w:rPr>
        <w:t>Path:</w:t>
      </w:r>
      <w:r>
        <w:rPr>
          <w:rFonts w:hint="default"/>
          <w:sz w:val="21"/>
          <w:szCs w:val="21"/>
          <w:lang w:val="en-US"/>
        </w:rPr>
        <w:t xml:space="preserve"> Settings-&gt; Asset and Inventory Management -&gt; Custom Inventory-&gt; Custom WMI Items</w:t>
      </w:r>
    </w:p>
    <w:p>
      <w:pPr>
        <w:rPr>
          <w:rFonts w:hint="default"/>
          <w:color w:val="0000FF"/>
          <w:sz w:val="36"/>
          <w:szCs w:val="36"/>
          <w:lang w:val="en-US"/>
        </w:rPr>
      </w:pPr>
      <w:bookmarkStart w:id="0" w:name="_GoBack"/>
      <w:bookmarkEnd w:id="0"/>
    </w:p>
    <w:p>
      <w:pPr>
        <w:rPr>
          <w:rFonts w:hint="default"/>
          <w:color w:val="auto"/>
          <w:sz w:val="24"/>
          <w:szCs w:val="24"/>
          <w:lang w:val="en-US"/>
        </w:rPr>
      </w:pPr>
      <w:r>
        <w:rPr>
          <w:rFonts w:hint="default"/>
          <w:b/>
          <w:bCs/>
          <w:color w:val="auto"/>
          <w:sz w:val="24"/>
          <w:szCs w:val="24"/>
          <w:lang w:val="en-US"/>
        </w:rPr>
        <w:t xml:space="preserve">Namespace </w:t>
      </w:r>
      <w:r>
        <w:rPr>
          <w:rFonts w:hint="default"/>
          <w:color w:val="auto"/>
          <w:sz w:val="24"/>
          <w:szCs w:val="24"/>
          <w:lang w:val="en-US"/>
        </w:rPr>
        <w:t>: root\cimv2\security\microsofttpm</w:t>
      </w:r>
    </w:p>
    <w:p>
      <w:pPr>
        <w:rPr>
          <w:rFonts w:hint="default"/>
          <w:color w:val="auto"/>
          <w:sz w:val="24"/>
          <w:szCs w:val="24"/>
          <w:lang w:val="en-US"/>
        </w:rPr>
      </w:pPr>
      <w:r>
        <w:rPr>
          <w:rFonts w:hint="default"/>
          <w:b/>
          <w:bCs/>
          <w:color w:val="auto"/>
          <w:sz w:val="24"/>
          <w:szCs w:val="24"/>
          <w:lang w:val="en-US"/>
        </w:rPr>
        <w:t>Class</w:t>
      </w:r>
      <w:r>
        <w:rPr>
          <w:rFonts w:hint="default"/>
          <w:color w:val="auto"/>
          <w:sz w:val="24"/>
          <w:szCs w:val="24"/>
          <w:lang w:val="en-US"/>
        </w:rPr>
        <w:t>: win32_tpm</w:t>
      </w:r>
    </w:p>
    <w:p>
      <w:pPr>
        <w:rPr>
          <w:rFonts w:hint="default"/>
          <w:color w:val="auto"/>
          <w:sz w:val="24"/>
          <w:szCs w:val="24"/>
          <w:lang w:val="en-US"/>
        </w:rPr>
      </w:pPr>
    </w:p>
    <w:p>
      <w:pPr>
        <w:rPr>
          <w:rFonts w:hint="default"/>
          <w:color w:val="auto"/>
          <w:sz w:val="24"/>
          <w:szCs w:val="24"/>
          <w:lang w:val="en-US"/>
        </w:rPr>
      </w:pPr>
      <w:r>
        <w:rPr>
          <w:rFonts w:hint="default"/>
          <w:b/>
          <w:bCs/>
          <w:color w:val="auto"/>
          <w:sz w:val="24"/>
          <w:szCs w:val="24"/>
          <w:lang w:val="en-US"/>
        </w:rPr>
        <w:t>Attribute Name:</w:t>
      </w:r>
      <w:r>
        <w:rPr>
          <w:rFonts w:hint="default"/>
          <w:color w:val="auto"/>
          <w:sz w:val="24"/>
          <w:szCs w:val="24"/>
          <w:lang w:val="en-US"/>
        </w:rPr>
        <w:t xml:space="preserve">  specVersion</w:t>
      </w:r>
    </w:p>
    <w:p>
      <w:pPr>
        <w:rPr>
          <w:rFonts w:hint="default"/>
          <w:color w:val="auto"/>
          <w:sz w:val="24"/>
          <w:szCs w:val="24"/>
          <w:lang w:val="en-US"/>
        </w:rPr>
      </w:pPr>
      <w:r>
        <w:rPr>
          <w:rFonts w:hint="default"/>
          <w:b/>
          <w:bCs/>
          <w:color w:val="auto"/>
          <w:sz w:val="24"/>
          <w:szCs w:val="24"/>
          <w:lang w:val="en-US"/>
        </w:rPr>
        <w:t>DisplayName:</w:t>
      </w:r>
      <w:r>
        <w:rPr>
          <w:rFonts w:hint="default"/>
          <w:color w:val="auto"/>
          <w:sz w:val="24"/>
          <w:szCs w:val="24"/>
          <w:lang w:val="en-US"/>
        </w:rPr>
        <w:t xml:space="preserve">  specVersion</w:t>
      </w:r>
    </w:p>
    <w:p>
      <w:pPr>
        <w:rPr>
          <w:rFonts w:hint="default"/>
          <w:color w:val="auto"/>
          <w:sz w:val="24"/>
          <w:szCs w:val="24"/>
          <w:lang w:val="en-US"/>
        </w:rPr>
      </w:pPr>
    </w:p>
    <w:p>
      <w:pPr>
        <w:rPr>
          <w:rFonts w:hint="default" w:asciiTheme="majorHAnsi" w:hAnsiTheme="majorHAnsi" w:eastAsiaTheme="majorEastAsia" w:cstheme="majorBidi"/>
          <w:color w:val="2E75B6" w:themeColor="accent1" w:themeShade="BF"/>
          <w:sz w:val="26"/>
          <w:szCs w:val="26"/>
          <w:u w:val="single"/>
          <w:lang w:val="en-US" w:eastAsia="zh-CN" w:bidi="ar-SA"/>
        </w:rPr>
      </w:pPr>
      <w:r>
        <w:rPr>
          <w:rFonts w:hint="default" w:asciiTheme="majorHAnsi" w:hAnsiTheme="majorHAnsi" w:eastAsiaTheme="majorEastAsia" w:cstheme="majorBidi"/>
          <w:color w:val="2E75B6" w:themeColor="accent1" w:themeShade="BF"/>
          <w:sz w:val="26"/>
          <w:szCs w:val="26"/>
          <w:u w:val="single"/>
          <w:lang w:val="en-US" w:eastAsia="zh-CN" w:bidi="ar-SA"/>
        </w:rPr>
        <w:t>Screenshot:</w:t>
      </w:r>
    </w:p>
    <w:p>
      <w:pPr>
        <w:rPr>
          <w:rFonts w:hint="default" w:asciiTheme="majorHAnsi" w:hAnsiTheme="majorHAnsi" w:eastAsiaTheme="majorEastAsia" w:cstheme="majorBidi"/>
          <w:color w:val="2E75B6" w:themeColor="accent1" w:themeShade="BF"/>
          <w:sz w:val="26"/>
          <w:szCs w:val="26"/>
          <w:u w:val="single"/>
          <w:lang w:val="en-US" w:eastAsia="zh-CN" w:bidi="ar-SA"/>
        </w:rPr>
      </w:pPr>
    </w:p>
    <w:p>
      <w:r>
        <w:drawing>
          <wp:inline distT="0" distB="0" distL="114300" distR="114300">
            <wp:extent cx="5270500" cy="180657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after="0"/>
        <w:rPr>
          <w:b/>
          <w:bCs/>
          <w:color w:val="FF0000"/>
          <w:lang w:val="en-US"/>
        </w:rPr>
      </w:pPr>
    </w:p>
    <w:p>
      <w:pPr>
        <w:spacing w:after="0"/>
        <w:rPr>
          <w:b/>
          <w:bCs/>
          <w:color w:val="FF0000"/>
          <w:lang w:val="en-US"/>
        </w:rPr>
      </w:pPr>
    </w:p>
    <w:p>
      <w:pPr>
        <w:spacing w:after="0"/>
        <w:rPr>
          <w:b/>
          <w:bCs/>
          <w:color w:val="FF0000"/>
          <w:lang w:val="en-US"/>
        </w:rPr>
      </w:pPr>
    </w:p>
    <w:p>
      <w:pPr>
        <w:rPr>
          <w:rFonts w:hint="default" w:asciiTheme="majorHAnsi" w:hAnsiTheme="majorHAnsi" w:eastAsiaTheme="majorEastAsia" w:cstheme="majorBidi"/>
          <w:color w:val="2E75B6" w:themeColor="accent1" w:themeShade="BF"/>
          <w:sz w:val="26"/>
          <w:szCs w:val="26"/>
          <w:u w:val="single"/>
          <w:lang w:val="en-US" w:eastAsia="zh-CN" w:bidi="ar-SA"/>
        </w:rPr>
      </w:pPr>
      <w:r>
        <w:rPr>
          <w:rFonts w:hint="default" w:asciiTheme="majorHAnsi" w:hAnsiTheme="majorHAnsi" w:eastAsiaTheme="majorEastAsia" w:cstheme="majorBidi"/>
          <w:color w:val="2E75B6" w:themeColor="accent1" w:themeShade="BF"/>
          <w:sz w:val="26"/>
          <w:szCs w:val="26"/>
          <w:u w:val="single"/>
          <w:lang w:val="en-US" w:eastAsia="zh-CN" w:bidi="ar-SA"/>
        </w:rPr>
        <w:t>Next Step:</w:t>
      </w:r>
    </w:p>
    <w:p>
      <w:pPr>
        <w:rPr>
          <w:rFonts w:hint="default" w:asciiTheme="majorHAnsi" w:hAnsiTheme="majorHAnsi" w:eastAsiaTheme="majorEastAsia" w:cstheme="majorBidi"/>
          <w:color w:val="2E75B6" w:themeColor="accent1" w:themeShade="BF"/>
          <w:sz w:val="26"/>
          <w:szCs w:val="26"/>
          <w:u w:val="single"/>
          <w:lang w:val="en-US" w:eastAsia="zh-CN" w:bidi="ar-SA"/>
        </w:rPr>
      </w:pPr>
    </w:p>
    <w:p>
      <w:pPr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default"/>
          <w:color w:val="auto"/>
          <w:sz w:val="24"/>
          <w:szCs w:val="24"/>
          <w:lang w:val="en-US"/>
        </w:rPr>
        <w:t>Once the custom inventory is collected, contact  SapphireIMS support  to provide custom report.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651B"/>
    <w:rsid w:val="263E6EE4"/>
    <w:rsid w:val="3FB3651B"/>
    <w:rsid w:val="4A9B5A20"/>
    <w:rsid w:val="7431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2022-11-18T08:05:00Z</dcterms:created>
  <dc:creator>srinivasan.r</dc:creator>
  <cp:lastModifiedBy>srinivasan.r</cp:lastModifiedBy>
  <dcterms:modified xsi:type="dcterms:W3CDTF">2022-11-18T11:51:01Z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64FDAE83EB2746BD9D636E62F3DB32C8</vt:lpwstr>
  </property>
</Properties>
</file>